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77777777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/Képzésben részt </w:t>
      </w:r>
      <w:r w:rsidR="00130F8C">
        <w:rPr>
          <w:sz w:val="22"/>
          <w:szCs w:val="22"/>
        </w:rPr>
        <w:lastRenderedPageBreak/>
        <w:t>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>al is rendelkezik, a szabadság megállapítása az Szkt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0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F782" w14:textId="77777777" w:rsidR="00DC0685" w:rsidRDefault="00DC0685">
      <w:r>
        <w:separator/>
      </w:r>
    </w:p>
  </w:endnote>
  <w:endnote w:type="continuationSeparator" w:id="0">
    <w:p w14:paraId="4DA248CE" w14:textId="77777777" w:rsidR="00DC0685" w:rsidRDefault="00DC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C7EA7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72142" w14:textId="77777777" w:rsidR="00DC0685" w:rsidRDefault="00DC0685">
      <w:r>
        <w:separator/>
      </w:r>
    </w:p>
  </w:footnote>
  <w:footnote w:type="continuationSeparator" w:id="0">
    <w:p w14:paraId="7F60013C" w14:textId="77777777" w:rsidR="00DC0685" w:rsidRDefault="00DC0685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C7EA7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685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9312-1D08-42AA-8C9D-219B3B50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10001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Czinege Norbertné</cp:lastModifiedBy>
  <cp:revision>2</cp:revision>
  <cp:lastPrinted>2020-09-29T09:38:00Z</cp:lastPrinted>
  <dcterms:created xsi:type="dcterms:W3CDTF">2022-03-04T11:45:00Z</dcterms:created>
  <dcterms:modified xsi:type="dcterms:W3CDTF">2022-03-04T11:45:00Z</dcterms:modified>
</cp:coreProperties>
</file>